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FE565A">
        <w:rPr>
          <w:rFonts w:ascii="Times New Roman" w:hAnsi="Times New Roman" w:cs="Times New Roman"/>
          <w:b/>
          <w:sz w:val="28"/>
          <w:szCs w:val="28"/>
        </w:rPr>
        <w:t>2</w:t>
      </w:r>
      <w:r w:rsidR="00B737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B7378F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485C59">
        <w:rPr>
          <w:rFonts w:ascii="Times New Roman" w:hAnsi="Times New Roman" w:cs="Times New Roman"/>
          <w:sz w:val="28"/>
          <w:szCs w:val="28"/>
        </w:rPr>
        <w:t>2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>е - сельское поселение Верхняя Орлянка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E565A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E565A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B7378F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B7378F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B7378F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485C59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2728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2814" w:rsidRDefault="00272814" w:rsidP="00272814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272814" w:rsidRPr="007F7959" w:rsidRDefault="00272814" w:rsidP="00272814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Верхняя Орлянка.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485C59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31FF">
        <w:rPr>
          <w:rFonts w:ascii="Times New Roman" w:hAnsi="Times New Roman" w:cs="Times New Roman"/>
          <w:sz w:val="28"/>
          <w:szCs w:val="28"/>
        </w:rPr>
        <w:t>Верхняя Орлянка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FE565A">
        <w:rPr>
          <w:rFonts w:ascii="Times New Roman" w:hAnsi="Times New Roman" w:cs="Times New Roman"/>
          <w:sz w:val="28"/>
          <w:szCs w:val="28"/>
        </w:rPr>
        <w:t>2</w:t>
      </w:r>
      <w:r w:rsidR="00272814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994D70">
        <w:rPr>
          <w:rFonts w:ascii="Times New Roman" w:hAnsi="Times New Roman" w:cs="Times New Roman"/>
          <w:sz w:val="28"/>
          <w:szCs w:val="28"/>
        </w:rPr>
        <w:t>3</w:t>
      </w:r>
      <w:r w:rsidR="000E2E3A">
        <w:rPr>
          <w:rFonts w:ascii="Times New Roman" w:hAnsi="Times New Roman" w:cs="Times New Roman"/>
          <w:sz w:val="28"/>
          <w:szCs w:val="28"/>
        </w:rPr>
        <w:t>69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31F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046032">
        <w:rPr>
          <w:rFonts w:ascii="Times New Roman" w:hAnsi="Times New Roman" w:cs="Times New Roman"/>
          <w:sz w:val="28"/>
          <w:szCs w:val="28"/>
        </w:rPr>
        <w:t>2</w:t>
      </w:r>
      <w:r w:rsidR="000E2E3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046032">
        <w:rPr>
          <w:rFonts w:ascii="Times New Roman" w:hAnsi="Times New Roman" w:cs="Times New Roman"/>
          <w:sz w:val="28"/>
          <w:szCs w:val="28"/>
        </w:rPr>
        <w:t>2</w:t>
      </w:r>
      <w:r w:rsidR="000E2E3A">
        <w:rPr>
          <w:rFonts w:ascii="Times New Roman" w:hAnsi="Times New Roman" w:cs="Times New Roman"/>
          <w:sz w:val="28"/>
          <w:szCs w:val="28"/>
        </w:rPr>
        <w:t>1</w:t>
      </w:r>
      <w:r w:rsidR="00994D70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2E1869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объем налоговых расходов в 20</w:t>
      </w:r>
      <w:r w:rsidR="0004603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E2E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приходится на </w:t>
      </w:r>
      <w:r w:rsidR="00232CE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налоговые рас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представлены налоговыми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льготами по земельному налогу для </w:t>
      </w:r>
      <w:r w:rsidR="00232CE0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казенных учреждений, финансируемых за  счет средств местного бюджета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082BA9" w:rsidRPr="00082BA9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</w:t>
      </w:r>
      <w:r w:rsidR="000E2E3A" w:rsidRPr="000E2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E3A">
        <w:rPr>
          <w:rFonts w:ascii="Times New Roman" w:eastAsia="Times New Roman" w:hAnsi="Times New Roman" w:cs="Times New Roman"/>
          <w:sz w:val="28"/>
          <w:szCs w:val="28"/>
        </w:rPr>
        <w:t xml:space="preserve">физическим лицам, имеющим трех и более несовершеннолетних детей;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0E2E3A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0C33CA">
        <w:rPr>
          <w:rFonts w:ascii="Times New Roman" w:hAnsi="Times New Roman" w:cs="Times New Roman"/>
          <w:sz w:val="28"/>
          <w:szCs w:val="28"/>
        </w:rPr>
        <w:t>2</w:t>
      </w:r>
      <w:r w:rsidR="000E2E3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57"/>
        <w:gridCol w:w="1262"/>
        <w:gridCol w:w="1288"/>
        <w:gridCol w:w="1288"/>
        <w:gridCol w:w="1288"/>
        <w:gridCol w:w="1288"/>
      </w:tblGrid>
      <w:tr w:rsidR="000E2E3A" w:rsidRPr="00D83627" w:rsidTr="000E2E3A">
        <w:tc>
          <w:tcPr>
            <w:tcW w:w="3157" w:type="dxa"/>
          </w:tcPr>
          <w:p w:rsidR="000E2E3A" w:rsidRPr="00D83627" w:rsidRDefault="000E2E3A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62" w:type="dxa"/>
          </w:tcPr>
          <w:p w:rsidR="000E2E3A" w:rsidRDefault="000E2E3A" w:rsidP="000C33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0C33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88" w:type="dxa"/>
            <w:vAlign w:val="center"/>
          </w:tcPr>
          <w:p w:rsidR="000E2E3A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E2E3A" w:rsidRPr="00D83627" w:rsidTr="000E2E3A">
        <w:tc>
          <w:tcPr>
            <w:tcW w:w="3157" w:type="dxa"/>
          </w:tcPr>
          <w:p w:rsidR="000E2E3A" w:rsidRPr="00D83627" w:rsidRDefault="000E2E3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плательщиков,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воспользовавшихся правом на льготы, чел.</w:t>
            </w:r>
          </w:p>
        </w:tc>
        <w:tc>
          <w:tcPr>
            <w:tcW w:w="1262" w:type="dxa"/>
            <w:vAlign w:val="center"/>
          </w:tcPr>
          <w:p w:rsidR="000E2E3A" w:rsidRDefault="000E2E3A" w:rsidP="000E2E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994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8" w:type="dxa"/>
            <w:vAlign w:val="center"/>
          </w:tcPr>
          <w:p w:rsidR="000E2E3A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8" w:type="dxa"/>
            <w:vAlign w:val="center"/>
          </w:tcPr>
          <w:p w:rsidR="000E2E3A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2228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88</w:t>
            </w:r>
          </w:p>
        </w:tc>
      </w:tr>
      <w:tr w:rsidR="000E2E3A" w:rsidRPr="00D83627" w:rsidTr="000E2E3A">
        <w:tc>
          <w:tcPr>
            <w:tcW w:w="3157" w:type="dxa"/>
          </w:tcPr>
          <w:p w:rsidR="000E2E3A" w:rsidRPr="00D83627" w:rsidRDefault="000E2E3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численность плательщиков, чел.</w:t>
            </w:r>
          </w:p>
        </w:tc>
        <w:tc>
          <w:tcPr>
            <w:tcW w:w="1262" w:type="dxa"/>
            <w:vAlign w:val="center"/>
          </w:tcPr>
          <w:p w:rsidR="000E2E3A" w:rsidRDefault="000E2E3A" w:rsidP="000E2E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994D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288" w:type="dxa"/>
            <w:vAlign w:val="center"/>
          </w:tcPr>
          <w:p w:rsidR="000E2E3A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288" w:type="dxa"/>
            <w:vAlign w:val="center"/>
          </w:tcPr>
          <w:p w:rsidR="000E2E3A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0E2E3A" w:rsidRPr="00D83627" w:rsidTr="000E2E3A">
        <w:tc>
          <w:tcPr>
            <w:tcW w:w="3157" w:type="dxa"/>
          </w:tcPr>
          <w:p w:rsidR="000E2E3A" w:rsidRPr="00D83627" w:rsidRDefault="000E2E3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262" w:type="dxa"/>
          </w:tcPr>
          <w:p w:rsidR="000E2E3A" w:rsidRDefault="000E2E3A" w:rsidP="000C33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0C33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88" w:type="dxa"/>
            <w:vAlign w:val="center"/>
          </w:tcPr>
          <w:p w:rsidR="000E2E3A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88" w:type="dxa"/>
            <w:vAlign w:val="center"/>
          </w:tcPr>
          <w:p w:rsidR="000E2E3A" w:rsidRPr="00D83627" w:rsidRDefault="000E2E3A" w:rsidP="00222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0C33CA">
        <w:rPr>
          <w:rFonts w:ascii="Times New Roman" w:hAnsi="Times New Roman" w:cs="Times New Roman"/>
          <w:sz w:val="28"/>
          <w:szCs w:val="28"/>
        </w:rPr>
        <w:t>2</w:t>
      </w:r>
      <w:r w:rsidR="000E2E3A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0E2E3A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FF7DC8">
        <w:rPr>
          <w:rFonts w:ascii="Times New Roman" w:hAnsi="Times New Roman" w:cs="Times New Roman"/>
          <w:sz w:val="28"/>
          <w:szCs w:val="28"/>
        </w:rPr>
        <w:t>2</w:t>
      </w:r>
      <w:r w:rsidR="000E2E3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0E2E3A">
        <w:rPr>
          <w:rFonts w:ascii="Times New Roman" w:hAnsi="Times New Roman" w:cs="Times New Roman"/>
          <w:sz w:val="28"/>
          <w:szCs w:val="28"/>
        </w:rPr>
        <w:t>10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E2E3A">
        <w:rPr>
          <w:rFonts w:ascii="Times New Roman" w:hAnsi="Times New Roman" w:cs="Times New Roman"/>
          <w:sz w:val="28"/>
          <w:szCs w:val="28"/>
        </w:rPr>
        <w:t xml:space="preserve">в 2022 году – 8 тыс. рублей, </w:t>
      </w:r>
      <w:r w:rsidR="00994D70">
        <w:rPr>
          <w:rFonts w:ascii="Times New Roman" w:hAnsi="Times New Roman" w:cs="Times New Roman"/>
          <w:sz w:val="28"/>
          <w:szCs w:val="28"/>
        </w:rPr>
        <w:t xml:space="preserve">в 2021 году – 9 тыс. рублей, </w:t>
      </w:r>
      <w:r w:rsidR="000C33CA">
        <w:rPr>
          <w:rFonts w:ascii="Times New Roman" w:hAnsi="Times New Roman" w:cs="Times New Roman"/>
          <w:sz w:val="28"/>
          <w:szCs w:val="28"/>
        </w:rPr>
        <w:t xml:space="preserve">в 2020 году – 2 тыс. рублей,  </w:t>
      </w:r>
      <w:r w:rsidR="00FF7DC8">
        <w:rPr>
          <w:rFonts w:ascii="Times New Roman" w:hAnsi="Times New Roman" w:cs="Times New Roman"/>
          <w:sz w:val="28"/>
          <w:szCs w:val="28"/>
        </w:rPr>
        <w:t>в 2019 году – 53 тыс</w:t>
      </w:r>
      <w:proofErr w:type="gramStart"/>
      <w:r w:rsidR="00FF7D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7DC8">
        <w:rPr>
          <w:rFonts w:ascii="Times New Roman" w:hAnsi="Times New Roman" w:cs="Times New Roman"/>
          <w:sz w:val="28"/>
          <w:szCs w:val="28"/>
        </w:rPr>
        <w:t>ублей</w:t>
      </w:r>
      <w:r w:rsidRPr="00D8362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82BA9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06EEF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6B02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16B02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0CAB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FF7D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2E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признано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0E2E3A" w:rsidRDefault="000E2E3A" w:rsidP="000E2E3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E3A" w:rsidRPr="00D83627" w:rsidRDefault="000E2E3A" w:rsidP="000E2E3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2E3A" w:rsidRPr="00D83627" w:rsidRDefault="000E2E3A" w:rsidP="000E2E3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2E3A" w:rsidRPr="00D83627" w:rsidRDefault="000E2E3A" w:rsidP="000E2E3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0E2E3A" w:rsidRDefault="000E2E3A" w:rsidP="000E2E3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 xml:space="preserve">Верхняя Орлянка данной льготой воспользовались 2 налогоплательщика. </w:t>
      </w: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 образовательные организации.</w:t>
      </w:r>
    </w:p>
    <w:p w:rsidR="000E2E3A" w:rsidRPr="00D83627" w:rsidRDefault="000E2E3A" w:rsidP="000E2E3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0E2E3A" w:rsidRPr="00D83627" w:rsidRDefault="000E2E3A" w:rsidP="000E2E3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2E3A" w:rsidRPr="00D83627" w:rsidRDefault="000E2E3A" w:rsidP="000E2E3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стимулирующих налоговых расходов сельского поселения </w:t>
      </w:r>
      <w:r w:rsidR="00807E1C">
        <w:rPr>
          <w:rFonts w:ascii="Times New Roman" w:eastAsia="Times New Roman" w:hAnsi="Times New Roman" w:cs="Times New Roman"/>
          <w:b/>
          <w:sz w:val="28"/>
          <w:szCs w:val="28"/>
        </w:rPr>
        <w:t>Верхняя Орлянка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E3A" w:rsidRPr="00D83627" w:rsidRDefault="000E2E3A" w:rsidP="000E2E3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2E3A" w:rsidRPr="00D83627" w:rsidRDefault="000E2E3A" w:rsidP="000E2E3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807E1C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807E1C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0E2E3A" w:rsidRDefault="000E2E3A" w:rsidP="000E2E3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 w:rsidR="00807E1C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0E2E3A" w:rsidRDefault="000E2E3A" w:rsidP="000E2E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371032" w:rsidRDefault="00371032" w:rsidP="000E2E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1032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46032"/>
    <w:rsid w:val="00082BA9"/>
    <w:rsid w:val="00094476"/>
    <w:rsid w:val="000C33CA"/>
    <w:rsid w:val="000D77FF"/>
    <w:rsid w:val="000E2E3A"/>
    <w:rsid w:val="00166169"/>
    <w:rsid w:val="0017033C"/>
    <w:rsid w:val="00191DC5"/>
    <w:rsid w:val="001D55D3"/>
    <w:rsid w:val="00206EEF"/>
    <w:rsid w:val="00221BDA"/>
    <w:rsid w:val="00232CE0"/>
    <w:rsid w:val="00272814"/>
    <w:rsid w:val="002A7186"/>
    <w:rsid w:val="002C30C2"/>
    <w:rsid w:val="002E1869"/>
    <w:rsid w:val="002F5228"/>
    <w:rsid w:val="0031394A"/>
    <w:rsid w:val="00371032"/>
    <w:rsid w:val="00372667"/>
    <w:rsid w:val="00372E49"/>
    <w:rsid w:val="003822DB"/>
    <w:rsid w:val="003A4440"/>
    <w:rsid w:val="003E5D63"/>
    <w:rsid w:val="00421289"/>
    <w:rsid w:val="00485C59"/>
    <w:rsid w:val="004B6C7E"/>
    <w:rsid w:val="004D2C1F"/>
    <w:rsid w:val="004F406F"/>
    <w:rsid w:val="005A7603"/>
    <w:rsid w:val="005B53CA"/>
    <w:rsid w:val="00636209"/>
    <w:rsid w:val="00646F11"/>
    <w:rsid w:val="00651289"/>
    <w:rsid w:val="00685D5F"/>
    <w:rsid w:val="006B455B"/>
    <w:rsid w:val="006C6045"/>
    <w:rsid w:val="007203C3"/>
    <w:rsid w:val="00765024"/>
    <w:rsid w:val="007B6F70"/>
    <w:rsid w:val="00801AF9"/>
    <w:rsid w:val="00807E1C"/>
    <w:rsid w:val="00844CF2"/>
    <w:rsid w:val="00913F79"/>
    <w:rsid w:val="009201D8"/>
    <w:rsid w:val="00953579"/>
    <w:rsid w:val="00994D70"/>
    <w:rsid w:val="009C4C7A"/>
    <w:rsid w:val="00A031FF"/>
    <w:rsid w:val="00A11D6C"/>
    <w:rsid w:val="00A91CF0"/>
    <w:rsid w:val="00AF0D32"/>
    <w:rsid w:val="00B26BF9"/>
    <w:rsid w:val="00B54554"/>
    <w:rsid w:val="00B5479A"/>
    <w:rsid w:val="00B7378F"/>
    <w:rsid w:val="00C63121"/>
    <w:rsid w:val="00D03314"/>
    <w:rsid w:val="00D168B5"/>
    <w:rsid w:val="00D61959"/>
    <w:rsid w:val="00D76EDC"/>
    <w:rsid w:val="00D83627"/>
    <w:rsid w:val="00D90CEE"/>
    <w:rsid w:val="00E139E8"/>
    <w:rsid w:val="00E352E0"/>
    <w:rsid w:val="00E7473A"/>
    <w:rsid w:val="00E9355F"/>
    <w:rsid w:val="00EB157D"/>
    <w:rsid w:val="00EF0CAB"/>
    <w:rsid w:val="00F64BC9"/>
    <w:rsid w:val="00F766B8"/>
    <w:rsid w:val="00F7698D"/>
    <w:rsid w:val="00F83BB1"/>
    <w:rsid w:val="00FE565A"/>
    <w:rsid w:val="00FE6ACE"/>
    <w:rsid w:val="00FE7FAF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AB4A-37AB-44AD-845A-D0976813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2021-06-22T07:02:00Z</cp:lastPrinted>
  <dcterms:created xsi:type="dcterms:W3CDTF">2025-07-01T06:56:00Z</dcterms:created>
  <dcterms:modified xsi:type="dcterms:W3CDTF">2025-07-01T06:56:00Z</dcterms:modified>
</cp:coreProperties>
</file>